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C9BB1" w14:textId="20686F22" w:rsidR="00721F6A" w:rsidRDefault="00721F6A">
      <w:r>
        <w:t>Porto Alegre 15 de março de 2023.</w:t>
      </w:r>
    </w:p>
    <w:p w14:paraId="51C14956" w14:textId="77777777" w:rsidR="00A6301C" w:rsidRDefault="00A6301C" w:rsidP="00A6301C"/>
    <w:p w14:paraId="4F7C34EE" w14:textId="358781AD" w:rsidR="00A6301C" w:rsidRPr="00A6301C" w:rsidRDefault="00A6301C" w:rsidP="00A6301C">
      <w:pPr>
        <w:rPr>
          <w:b/>
          <w:bCs/>
        </w:rPr>
      </w:pPr>
      <w:r w:rsidRPr="00A6301C">
        <w:rPr>
          <w:b/>
          <w:bCs/>
        </w:rPr>
        <w:t>Resultados dos r</w:t>
      </w:r>
      <w:r w:rsidRPr="00A6301C">
        <w:rPr>
          <w:b/>
          <w:bCs/>
        </w:rPr>
        <w:t>ecursos das inscrições não homologadas para a categoria “Melhor Trabalho Científico na Área de Oncologia Pediátrica Apresentado em Congresso”</w:t>
      </w:r>
    </w:p>
    <w:tbl>
      <w:tblPr>
        <w:tblW w:w="85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232"/>
        <w:gridCol w:w="2268"/>
      </w:tblGrid>
      <w:tr w:rsidR="00A6301C" w14:paraId="73EC8813" w14:textId="77777777" w:rsidTr="00047A33">
        <w:trPr>
          <w:trHeight w:val="510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076886" w14:textId="77777777" w:rsidR="00A6301C" w:rsidRDefault="00A6301C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Trabalho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41C342" w14:textId="77777777" w:rsidR="00A6301C" w:rsidRDefault="00A6301C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Resultado Recurso</w:t>
            </w:r>
          </w:p>
        </w:tc>
      </w:tr>
      <w:tr w:rsidR="00A6301C" w14:paraId="31A52937" w14:textId="77777777" w:rsidTr="00047A33">
        <w:trPr>
          <w:trHeight w:val="495"/>
        </w:trPr>
        <w:tc>
          <w:tcPr>
            <w:tcW w:w="6232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2D3D95" w14:textId="77777777" w:rsidR="00A6301C" w:rsidRDefault="00A6301C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bedside ultrasound to assess muscle mass is a feasible measurement tool for health professionals from different backgrounds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A0608F" w14:textId="77777777" w:rsidR="00A6301C" w:rsidRDefault="00A6301C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Deferido</w:t>
            </w:r>
          </w:p>
        </w:tc>
      </w:tr>
      <w:tr w:rsidR="00A6301C" w14:paraId="57A4C666" w14:textId="77777777" w:rsidTr="00047A33">
        <w:trPr>
          <w:trHeight w:val="735"/>
        </w:trPr>
        <w:tc>
          <w:tcPr>
            <w:tcW w:w="623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2ADF99" w14:textId="77777777" w:rsidR="00A6301C" w:rsidRDefault="00A6301C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Muscle mass changes dramatically before surgery in children with ewilms tumor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D0C867" w14:textId="77777777" w:rsidR="00A6301C" w:rsidRDefault="00A6301C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Deferido</w:t>
            </w:r>
          </w:p>
        </w:tc>
      </w:tr>
      <w:tr w:rsidR="00A6301C" w14:paraId="7BC44DE7" w14:textId="77777777" w:rsidTr="00047A33">
        <w:trPr>
          <w:trHeight w:val="975"/>
        </w:trPr>
        <w:tc>
          <w:tcPr>
            <w:tcW w:w="6232" w:type="dxa"/>
            <w:tcBorders>
              <w:top w:val="single" w:sz="5" w:space="0" w:color="CCCCCC"/>
              <w:left w:val="single" w:sz="5" w:space="0" w:color="000000"/>
              <w:bottom w:val="single" w:sz="5" w:space="0" w:color="CCCCCC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5C0C9F" w14:textId="77777777" w:rsidR="00A6301C" w:rsidRDefault="00A6301C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a 3-points cutoff at scan ideal to screen for nutritional risk in children with cancer from LMIC?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5D1A3C" w14:textId="77777777" w:rsidR="00A6301C" w:rsidRDefault="00A6301C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Deferido</w:t>
            </w:r>
          </w:p>
        </w:tc>
      </w:tr>
      <w:tr w:rsidR="00A6301C" w14:paraId="2BE3BF37" w14:textId="77777777" w:rsidTr="00047A33">
        <w:trPr>
          <w:trHeight w:val="975"/>
        </w:trPr>
        <w:tc>
          <w:tcPr>
            <w:tcW w:w="6232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ED9C84" w14:textId="77777777" w:rsidR="00A6301C" w:rsidRDefault="00A6301C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miRNA-302B as potencial target for therapeutic intervention of pediatric malignant germ cell tumors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9A48B3" w14:textId="77777777" w:rsidR="00A6301C" w:rsidRDefault="00A6301C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Indeferido</w:t>
            </w:r>
          </w:p>
        </w:tc>
      </w:tr>
    </w:tbl>
    <w:p w14:paraId="5B2B5FB2" w14:textId="037E0B8B" w:rsidR="00A6301C" w:rsidRDefault="00A6301C" w:rsidP="00A6301C">
      <w:pPr>
        <w:pBdr>
          <w:bottom w:val="single" w:sz="12" w:space="1" w:color="auto"/>
        </w:pBdr>
      </w:pPr>
      <w:r>
        <w:t>OBS: As categorias “melhor Tese” e “Jovem Pesquisador nível Mestrado” não tiveram recursos.</w:t>
      </w:r>
    </w:p>
    <w:p w14:paraId="260893DB" w14:textId="77777777" w:rsidR="00A6301C" w:rsidRDefault="00A6301C" w:rsidP="00A6301C">
      <w:pPr>
        <w:pBdr>
          <w:bottom w:val="single" w:sz="12" w:space="1" w:color="auto"/>
        </w:pBdr>
      </w:pPr>
    </w:p>
    <w:p w14:paraId="5AB4F774" w14:textId="77777777" w:rsidR="00A6301C" w:rsidRDefault="00A6301C" w:rsidP="00A6301C"/>
    <w:p w14:paraId="0006EF30" w14:textId="62768EF7" w:rsidR="00721F6A" w:rsidRPr="002D0724" w:rsidRDefault="00721F6A" w:rsidP="00721F6A">
      <w:pPr>
        <w:rPr>
          <w:b/>
          <w:bCs/>
        </w:rPr>
      </w:pPr>
      <w:r w:rsidRPr="002D0724">
        <w:rPr>
          <w:b/>
          <w:bCs/>
        </w:rPr>
        <w:t>Inscrições HOMOLOGADAS do Edital Prêmio Prato Fino Pesquisa</w:t>
      </w:r>
      <w:r>
        <w:rPr>
          <w:b/>
          <w:bCs/>
        </w:rPr>
        <w:t xml:space="preserve"> após recurso</w:t>
      </w:r>
      <w:r w:rsidRPr="002D0724">
        <w:rPr>
          <w:b/>
          <w:bCs/>
        </w:rPr>
        <w:t>.</w:t>
      </w:r>
    </w:p>
    <w:p w14:paraId="2512BD4F" w14:textId="77777777" w:rsidR="00721F6A" w:rsidRPr="005934CC" w:rsidRDefault="00721F6A" w:rsidP="00721F6A"/>
    <w:p w14:paraId="5AF5545E" w14:textId="77777777" w:rsidR="00721F6A" w:rsidRDefault="00721F6A" w:rsidP="00721F6A">
      <w:pPr>
        <w:pStyle w:val="Ttulo"/>
        <w:rPr>
          <w:b/>
          <w:sz w:val="22"/>
          <w:szCs w:val="22"/>
        </w:rPr>
      </w:pPr>
      <w:r>
        <w:rPr>
          <w:b/>
          <w:sz w:val="22"/>
          <w:szCs w:val="22"/>
        </w:rPr>
        <w:t>Inscrições homologadas para a categoria “Melhor Tese em Oncologia Pediátrica”</w:t>
      </w:r>
    </w:p>
    <w:tbl>
      <w:tblPr>
        <w:tblW w:w="809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090"/>
      </w:tblGrid>
      <w:tr w:rsidR="0019187E" w14:paraId="0ECFE6CF" w14:textId="77777777" w:rsidTr="0019187E">
        <w:trPr>
          <w:trHeight w:val="300"/>
          <w:jc w:val="center"/>
        </w:trPr>
        <w:tc>
          <w:tcPr>
            <w:tcW w:w="8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2277569" w14:textId="77777777" w:rsidR="0019187E" w:rsidRDefault="0019187E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Tese</w:t>
            </w:r>
          </w:p>
        </w:tc>
      </w:tr>
      <w:tr w:rsidR="0019187E" w14:paraId="2B391C25" w14:textId="77777777" w:rsidTr="0019187E">
        <w:trPr>
          <w:trHeight w:val="975"/>
          <w:jc w:val="center"/>
        </w:trPr>
        <w:tc>
          <w:tcPr>
            <w:tcW w:w="8090" w:type="dxa"/>
            <w:tcBorders>
              <w:top w:val="single" w:sz="8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56AD0A" w14:textId="77777777" w:rsidR="0019187E" w:rsidRDefault="0019187E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Avaliação estrutural de complexos peptídeo MHC-I reconhecidos por células T CD8: implicações em modelos de resposta antiviral e antitumoral</w:t>
            </w:r>
          </w:p>
        </w:tc>
      </w:tr>
      <w:tr w:rsidR="0019187E" w14:paraId="4C9F638A" w14:textId="77777777" w:rsidTr="00072C16">
        <w:trPr>
          <w:trHeight w:val="945"/>
          <w:jc w:val="center"/>
        </w:trPr>
        <w:tc>
          <w:tcPr>
            <w:tcW w:w="80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503F76" w14:textId="77777777" w:rsidR="0019187E" w:rsidRDefault="0019187E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Caracterização imunofenotípica e perfil molecular de pacientes com leucemia mielomonocítica juvenil submetidos ao tratamento com 5-azacitidina. associação com resposta clínica e genética.</w:t>
            </w:r>
          </w:p>
        </w:tc>
      </w:tr>
      <w:tr w:rsidR="0019187E" w14:paraId="3C209809" w14:textId="77777777" w:rsidTr="0019187E">
        <w:trPr>
          <w:trHeight w:val="975"/>
          <w:jc w:val="center"/>
        </w:trPr>
        <w:tc>
          <w:tcPr>
            <w:tcW w:w="80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94A8E8" w14:textId="77777777" w:rsidR="0019187E" w:rsidRDefault="0019187E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Características epidemiológicas e sobrevida em crianças tratadas com meduloblastoma no Instituto Nacional de Câncer (INCA) no Rio de Janeiro, Brasil</w:t>
            </w:r>
          </w:p>
        </w:tc>
      </w:tr>
      <w:tr w:rsidR="0019187E" w14:paraId="781ACC15" w14:textId="77777777" w:rsidTr="0019187E">
        <w:trPr>
          <w:trHeight w:val="735"/>
          <w:jc w:val="center"/>
        </w:trPr>
        <w:tc>
          <w:tcPr>
            <w:tcW w:w="80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871AC5" w14:textId="77777777" w:rsidR="0019187E" w:rsidRDefault="0019187E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Câncer de cabeça e pescoço em crianças e adolescentes: frequência, distribuição e características clínico-patológicas</w:t>
            </w:r>
          </w:p>
        </w:tc>
      </w:tr>
      <w:tr w:rsidR="0019187E" w14:paraId="30DD341B" w14:textId="77777777" w:rsidTr="0019187E">
        <w:trPr>
          <w:trHeight w:val="735"/>
          <w:jc w:val="center"/>
        </w:trPr>
        <w:tc>
          <w:tcPr>
            <w:tcW w:w="80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8D615F" w14:textId="77777777" w:rsidR="0019187E" w:rsidRDefault="0019187E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Produção e Purificação de L-asparaginase por Fungos Filamentosos Isolados do Cerrado do Centro-Oeste Brasileiro</w:t>
            </w:r>
          </w:p>
        </w:tc>
      </w:tr>
      <w:tr w:rsidR="0019187E" w14:paraId="3F7D87CE" w14:textId="77777777" w:rsidTr="0019187E">
        <w:trPr>
          <w:trHeight w:val="975"/>
          <w:jc w:val="center"/>
        </w:trPr>
        <w:tc>
          <w:tcPr>
            <w:tcW w:w="80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97F421" w14:textId="77777777" w:rsidR="0019187E" w:rsidRDefault="0019187E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Impacto das complicações tardias na qualidade de vida dos pacientes pós-transplante de células-tronco hematopoiéticas</w:t>
            </w:r>
          </w:p>
        </w:tc>
      </w:tr>
      <w:tr w:rsidR="0019187E" w14:paraId="3C64B584" w14:textId="77777777" w:rsidTr="0019187E">
        <w:trPr>
          <w:trHeight w:val="735"/>
          <w:jc w:val="center"/>
        </w:trPr>
        <w:tc>
          <w:tcPr>
            <w:tcW w:w="80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141B36" w14:textId="77777777" w:rsidR="0019187E" w:rsidRDefault="0019187E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Incidência de efeitos tardios do tratamento oncológico em sobreviventes de câncer infanto-juvenil</w:t>
            </w:r>
          </w:p>
        </w:tc>
      </w:tr>
      <w:tr w:rsidR="0019187E" w14:paraId="7569A85A" w14:textId="77777777" w:rsidTr="0019187E">
        <w:trPr>
          <w:trHeight w:val="975"/>
          <w:jc w:val="center"/>
        </w:trPr>
        <w:tc>
          <w:tcPr>
            <w:tcW w:w="80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28A5B4" w14:textId="77777777" w:rsidR="0019187E" w:rsidRDefault="0019187E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Efeito dos fatores de transcrição FOX (Forkhead-box) na resistência ao tratamento com quimioterápicos nos pacientes com neuroblastoma</w:t>
            </w:r>
          </w:p>
        </w:tc>
      </w:tr>
      <w:tr w:rsidR="0019187E" w14:paraId="784E5D23" w14:textId="77777777" w:rsidTr="0019187E">
        <w:trPr>
          <w:trHeight w:val="735"/>
          <w:jc w:val="center"/>
        </w:trPr>
        <w:tc>
          <w:tcPr>
            <w:tcW w:w="80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724F05" w14:textId="77777777" w:rsidR="0019187E" w:rsidRDefault="0019187E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Estado nutricional e sobrevida global de crianças e adolescentes com câncer acompanhados pelo serviço de nutrição</w:t>
            </w:r>
          </w:p>
        </w:tc>
      </w:tr>
      <w:tr w:rsidR="0019187E" w14:paraId="2DEE3154" w14:textId="77777777" w:rsidTr="00072C16">
        <w:trPr>
          <w:trHeight w:val="704"/>
          <w:jc w:val="center"/>
        </w:trPr>
        <w:tc>
          <w:tcPr>
            <w:tcW w:w="80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C4A4AC" w14:textId="77777777" w:rsidR="0019187E" w:rsidRDefault="0019187E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Mutações genéticas na Leucemia Linfoide Aguda pediátrica do subgrupo ‘B-other’</w:t>
            </w:r>
          </w:p>
        </w:tc>
      </w:tr>
      <w:tr w:rsidR="0019187E" w14:paraId="5531911C" w14:textId="77777777" w:rsidTr="00072C16">
        <w:trPr>
          <w:trHeight w:val="1112"/>
          <w:jc w:val="center"/>
        </w:trPr>
        <w:tc>
          <w:tcPr>
            <w:tcW w:w="809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695D6B" w14:textId="77777777" w:rsidR="0019187E" w:rsidRDefault="0019187E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Análise de polimorfismos no gene TPT1 e em genes associados, incluindo TP53, CDKN1, MDM2, MTOR, SOX2, NANOG e POU5F1, em astrocitomas pediátricos, e sua comparação com a expressão imunoistoquímica e com variáveis clínico-patológicas</w:t>
            </w:r>
          </w:p>
        </w:tc>
      </w:tr>
    </w:tbl>
    <w:p w14:paraId="6998C4B3" w14:textId="77777777" w:rsidR="00721F6A" w:rsidRDefault="00721F6A" w:rsidP="0019187E">
      <w:pPr>
        <w:jc w:val="center"/>
        <w:rPr>
          <w:sz w:val="20"/>
          <w:szCs w:val="20"/>
        </w:rPr>
        <w:sectPr w:rsidR="00721F6A">
          <w:pgSz w:w="11909" w:h="16834"/>
          <w:pgMar w:top="1440" w:right="1440" w:bottom="1440" w:left="1440" w:header="720" w:footer="720" w:gutter="0"/>
          <w:pgNumType w:start="1"/>
          <w:cols w:space="720"/>
        </w:sectPr>
      </w:pPr>
    </w:p>
    <w:p w14:paraId="24BEE597" w14:textId="77777777" w:rsidR="00721F6A" w:rsidRDefault="00721F6A" w:rsidP="00721F6A">
      <w:pPr>
        <w:pStyle w:val="Ttulo"/>
        <w:rPr>
          <w:b/>
          <w:sz w:val="22"/>
          <w:szCs w:val="22"/>
        </w:rPr>
      </w:pPr>
      <w:bookmarkStart w:id="0" w:name="_o1ovuqge7ps1" w:colFirst="0" w:colLast="0"/>
      <w:bookmarkEnd w:id="0"/>
      <w:r>
        <w:rPr>
          <w:b/>
          <w:sz w:val="22"/>
          <w:szCs w:val="22"/>
        </w:rPr>
        <w:lastRenderedPageBreak/>
        <w:t>Inscrições homologadas para a categoria “Jovem Pesquisador/a nível Mestrado na área de Oncologia Pediátrica”</w:t>
      </w:r>
    </w:p>
    <w:tbl>
      <w:tblPr>
        <w:tblW w:w="8080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080"/>
      </w:tblGrid>
      <w:tr w:rsidR="0019187E" w14:paraId="68F8362F" w14:textId="77777777" w:rsidTr="0019187E">
        <w:trPr>
          <w:trHeight w:val="300"/>
          <w:jc w:val="center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56CCB6" w14:textId="77777777" w:rsidR="0019187E" w:rsidRDefault="0019187E" w:rsidP="00047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Dissertação</w:t>
            </w:r>
          </w:p>
        </w:tc>
      </w:tr>
      <w:tr w:rsidR="0019187E" w14:paraId="3AD8AFC6" w14:textId="77777777" w:rsidTr="0019187E">
        <w:trPr>
          <w:trHeight w:val="735"/>
          <w:jc w:val="center"/>
        </w:trPr>
        <w:tc>
          <w:tcPr>
            <w:tcW w:w="8080" w:type="dxa"/>
            <w:tcBorders>
              <w:top w:val="single" w:sz="4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9CA7A8" w14:textId="77777777" w:rsidR="0019187E" w:rsidRDefault="0019187E" w:rsidP="00047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Elaboração de protocolo para neuro-oncologia cirúrgica pediátrica em paciente acordado.</w:t>
            </w:r>
          </w:p>
        </w:tc>
      </w:tr>
      <w:tr w:rsidR="0019187E" w14:paraId="79D32746" w14:textId="77777777" w:rsidTr="0019187E">
        <w:trPr>
          <w:trHeight w:val="495"/>
          <w:jc w:val="center"/>
        </w:trPr>
        <w:tc>
          <w:tcPr>
            <w:tcW w:w="8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F74307" w14:textId="77777777" w:rsidR="0019187E" w:rsidRDefault="0019187E" w:rsidP="00047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Caracterização genômica dos tumores de células germinativas da infância</w:t>
            </w:r>
          </w:p>
        </w:tc>
      </w:tr>
      <w:tr w:rsidR="0019187E" w14:paraId="221A7292" w14:textId="77777777" w:rsidTr="0019187E">
        <w:trPr>
          <w:trHeight w:val="975"/>
          <w:jc w:val="center"/>
        </w:trPr>
        <w:tc>
          <w:tcPr>
            <w:tcW w:w="8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FB1327" w14:textId="77777777" w:rsidR="0019187E" w:rsidRDefault="0019187E" w:rsidP="00047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Diretrizes para a Hotelaria Hospitalar na promoção do bem-estar aos usuários dos serviços em ambulatórios onco-pediátricos do SUS</w:t>
            </w:r>
          </w:p>
        </w:tc>
      </w:tr>
      <w:tr w:rsidR="0019187E" w14:paraId="348B731D" w14:textId="77777777" w:rsidTr="0019187E">
        <w:trPr>
          <w:trHeight w:val="735"/>
          <w:jc w:val="center"/>
        </w:trPr>
        <w:tc>
          <w:tcPr>
            <w:tcW w:w="8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5109E" w14:textId="5596E335" w:rsidR="0019187E" w:rsidRDefault="0019187E" w:rsidP="00044A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Avaliação de marcadores imunológicos e</w:t>
            </w:r>
            <w:r w:rsidR="00044AF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purinérgicos na leucemia linfocítica aguda do tipo B</w:t>
            </w:r>
          </w:p>
        </w:tc>
      </w:tr>
      <w:tr w:rsidR="0019187E" w14:paraId="47392338" w14:textId="77777777" w:rsidTr="0019187E">
        <w:trPr>
          <w:trHeight w:val="975"/>
          <w:jc w:val="center"/>
        </w:trPr>
        <w:tc>
          <w:tcPr>
            <w:tcW w:w="8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78F417" w14:textId="77777777" w:rsidR="0019187E" w:rsidRDefault="0019187E" w:rsidP="00047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Avaliação da expressão da proteína da morte celular programada 1 (PD-1) em crianças e adolescentes com linfoma de Hodgkin clássico</w:t>
            </w:r>
          </w:p>
        </w:tc>
      </w:tr>
      <w:tr w:rsidR="0019187E" w14:paraId="4D2856CF" w14:textId="77777777" w:rsidTr="0019187E">
        <w:trPr>
          <w:trHeight w:val="975"/>
          <w:jc w:val="center"/>
        </w:trPr>
        <w:tc>
          <w:tcPr>
            <w:tcW w:w="8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7BBDAC" w14:textId="77777777" w:rsidR="0019187E" w:rsidRDefault="0019187E" w:rsidP="00047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Estudo do potencial papel dos microRNAs como biomarcadores dos tumores de células germinativas de ovário e testículo na infância</w:t>
            </w:r>
          </w:p>
        </w:tc>
      </w:tr>
      <w:tr w:rsidR="0019187E" w14:paraId="7650E6B7" w14:textId="77777777" w:rsidTr="0019187E">
        <w:trPr>
          <w:trHeight w:val="1215"/>
          <w:jc w:val="center"/>
        </w:trPr>
        <w:tc>
          <w:tcPr>
            <w:tcW w:w="8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07DA5D" w14:textId="77777777" w:rsidR="0019187E" w:rsidRDefault="0019187E" w:rsidP="00047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Proposta de intervenção nutricional em crianças e adolescentes com neoplasias malignas submetidos a radioterapia: implementação de um protocolo assistencial</w:t>
            </w:r>
          </w:p>
        </w:tc>
      </w:tr>
      <w:tr w:rsidR="0019187E" w14:paraId="370E9D06" w14:textId="77777777" w:rsidTr="0019187E">
        <w:trPr>
          <w:trHeight w:val="975"/>
          <w:jc w:val="center"/>
        </w:trPr>
        <w:tc>
          <w:tcPr>
            <w:tcW w:w="8080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D1D614" w14:textId="77777777" w:rsidR="0019187E" w:rsidRDefault="0019187E" w:rsidP="00047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Aplicabilidade de um nomograma incluindo variáveis clínicas e moleculares para estratificação de grupos de risco em meduloblastomas pediátricos</w:t>
            </w:r>
          </w:p>
        </w:tc>
      </w:tr>
      <w:tr w:rsidR="0019187E" w14:paraId="23510726" w14:textId="77777777" w:rsidTr="0019187E">
        <w:trPr>
          <w:trHeight w:val="975"/>
          <w:jc w:val="center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B7CD70" w14:textId="77777777" w:rsidR="0019187E" w:rsidRDefault="0019187E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Validação de tecnologia educativa para comunicação entre profissionais da saúde e a criança com câncer sobre o diagnóstico e o processo de tratamento</w:t>
            </w:r>
          </w:p>
        </w:tc>
      </w:tr>
      <w:tr w:rsidR="0019187E" w14:paraId="67740628" w14:textId="77777777" w:rsidTr="0019187E">
        <w:trPr>
          <w:trHeight w:val="975"/>
          <w:jc w:val="center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BE529B" w14:textId="77777777" w:rsidR="0019187E" w:rsidRDefault="0019187E" w:rsidP="00047A33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Avaliação imunobioquímica de células com diferentes perfis de ciclagem em leucemias agudas</w:t>
            </w:r>
          </w:p>
        </w:tc>
      </w:tr>
    </w:tbl>
    <w:p w14:paraId="691D247D" w14:textId="77777777" w:rsidR="00721F6A" w:rsidRDefault="00721F6A" w:rsidP="00721F6A">
      <w:pPr>
        <w:rPr>
          <w:sz w:val="20"/>
          <w:szCs w:val="20"/>
        </w:rPr>
      </w:pPr>
      <w:r>
        <w:br w:type="page"/>
      </w:r>
    </w:p>
    <w:p w14:paraId="1E0DC832" w14:textId="77777777" w:rsidR="00721F6A" w:rsidRDefault="00721F6A" w:rsidP="00721F6A">
      <w:pPr>
        <w:pStyle w:val="Ttulo"/>
        <w:rPr>
          <w:sz w:val="20"/>
          <w:szCs w:val="20"/>
        </w:rPr>
      </w:pPr>
      <w:bookmarkStart w:id="1" w:name="_s4a5kmlg4s8d" w:colFirst="0" w:colLast="0"/>
      <w:bookmarkEnd w:id="1"/>
      <w:r>
        <w:rPr>
          <w:b/>
          <w:sz w:val="22"/>
          <w:szCs w:val="22"/>
        </w:rPr>
        <w:lastRenderedPageBreak/>
        <w:t>Inscrições homologadas para a categoria “</w:t>
      </w:r>
      <w:r w:rsidRPr="001C3F6B">
        <w:rPr>
          <w:b/>
          <w:sz w:val="22"/>
          <w:szCs w:val="22"/>
        </w:rPr>
        <w:t xml:space="preserve">Melhor Trabalho Científico </w:t>
      </w:r>
      <w:r>
        <w:rPr>
          <w:b/>
          <w:sz w:val="22"/>
          <w:szCs w:val="22"/>
        </w:rPr>
        <w:t>n</w:t>
      </w:r>
      <w:r w:rsidRPr="001C3F6B">
        <w:rPr>
          <w:b/>
          <w:sz w:val="22"/>
          <w:szCs w:val="22"/>
        </w:rPr>
        <w:t xml:space="preserve">a Área </w:t>
      </w:r>
      <w:r>
        <w:rPr>
          <w:b/>
          <w:sz w:val="22"/>
          <w:szCs w:val="22"/>
        </w:rPr>
        <w:t>d</w:t>
      </w:r>
      <w:r w:rsidRPr="001C3F6B">
        <w:rPr>
          <w:b/>
          <w:sz w:val="22"/>
          <w:szCs w:val="22"/>
        </w:rPr>
        <w:t>e Oncologia Pediátrica Apresentado</w:t>
      </w:r>
      <w:r>
        <w:rPr>
          <w:b/>
          <w:sz w:val="22"/>
          <w:szCs w:val="22"/>
        </w:rPr>
        <w:t xml:space="preserve"> e</w:t>
      </w:r>
      <w:r w:rsidRPr="001C3F6B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 xml:space="preserve"> </w:t>
      </w:r>
      <w:r w:rsidRPr="001C3F6B">
        <w:rPr>
          <w:b/>
          <w:sz w:val="22"/>
          <w:szCs w:val="22"/>
        </w:rPr>
        <w:t>Congresso</w:t>
      </w:r>
      <w:r>
        <w:rPr>
          <w:b/>
          <w:sz w:val="22"/>
          <w:szCs w:val="22"/>
        </w:rPr>
        <w:t>”</w:t>
      </w:r>
      <w:r w:rsidRPr="001C3F6B">
        <w:rPr>
          <w:b/>
          <w:sz w:val="22"/>
          <w:szCs w:val="22"/>
        </w:rPr>
        <w:t>.</w:t>
      </w:r>
    </w:p>
    <w:tbl>
      <w:tblPr>
        <w:tblW w:w="7797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797"/>
      </w:tblGrid>
      <w:tr w:rsidR="0019187E" w14:paraId="6A88ED97" w14:textId="77777777" w:rsidTr="0019187E">
        <w:trPr>
          <w:trHeight w:val="300"/>
          <w:jc w:val="center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DB84F7" w14:textId="77777777" w:rsidR="0019187E" w:rsidRDefault="0019187E" w:rsidP="00047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Trabalho</w:t>
            </w:r>
          </w:p>
        </w:tc>
      </w:tr>
      <w:tr w:rsidR="0019187E" w14:paraId="21ACF92E" w14:textId="77777777" w:rsidTr="0019187E">
        <w:trPr>
          <w:trHeight w:val="1215"/>
          <w:jc w:val="center"/>
        </w:trPr>
        <w:tc>
          <w:tcPr>
            <w:tcW w:w="7797" w:type="dxa"/>
            <w:tcBorders>
              <w:top w:val="single" w:sz="4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C9757C" w14:textId="77777777" w:rsidR="0019187E" w:rsidRDefault="0019187E" w:rsidP="00047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Incidência e caracterização clínica e morfológica das doenças linfoproliferativas malignas em pacientes com transmissão vertical de HIV no Rio de Janeiro na Era pós terapia antirretroviral combinada: um estudo multicêntrico</w:t>
            </w:r>
          </w:p>
        </w:tc>
      </w:tr>
      <w:tr w:rsidR="0019187E" w14:paraId="0F071C2E" w14:textId="77777777" w:rsidTr="0019187E">
        <w:trPr>
          <w:trHeight w:val="495"/>
          <w:jc w:val="center"/>
        </w:trPr>
        <w:tc>
          <w:tcPr>
            <w:tcW w:w="779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2FC78C" w14:textId="77777777" w:rsidR="0019187E" w:rsidRDefault="0019187E" w:rsidP="00047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Rare Chromosomal Alterations in Pediatric Myelodysplastic Syndrome</w:t>
            </w:r>
          </w:p>
        </w:tc>
      </w:tr>
      <w:tr w:rsidR="0019187E" w14:paraId="1B9AF892" w14:textId="77777777" w:rsidTr="0019187E">
        <w:trPr>
          <w:trHeight w:val="735"/>
          <w:jc w:val="center"/>
        </w:trPr>
        <w:tc>
          <w:tcPr>
            <w:tcW w:w="779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73268E" w14:textId="77777777" w:rsidR="0019187E" w:rsidRDefault="0019187E" w:rsidP="00047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Outcome of children and adolescents with intracranial germinoma treated with chemotherapy and reduced radiation: a brazilian consortium.</w:t>
            </w:r>
          </w:p>
        </w:tc>
      </w:tr>
      <w:tr w:rsidR="0019187E" w14:paraId="70764977" w14:textId="77777777" w:rsidTr="0019187E">
        <w:trPr>
          <w:trHeight w:val="975"/>
          <w:jc w:val="center"/>
        </w:trPr>
        <w:tc>
          <w:tcPr>
            <w:tcW w:w="7797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1F791E" w14:textId="77777777" w:rsidR="0019187E" w:rsidRDefault="0019187E" w:rsidP="00047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Circadian rhythms of cortisol, α-amylase and cytokines of osteosarcoma pediatric patients undergoing chemotherapy in relation to healthy controls</w:t>
            </w:r>
          </w:p>
        </w:tc>
      </w:tr>
      <w:tr w:rsidR="0019187E" w14:paraId="28046C9B" w14:textId="77777777" w:rsidTr="0019187E">
        <w:trPr>
          <w:trHeight w:val="975"/>
          <w:jc w:val="center"/>
        </w:trPr>
        <w:tc>
          <w:tcPr>
            <w:tcW w:w="7797" w:type="dxa"/>
            <w:tcBorders>
              <w:top w:val="single" w:sz="5" w:space="0" w:color="CCCCCC"/>
              <w:left w:val="single" w:sz="5" w:space="0" w:color="CCCCCC"/>
              <w:bottom w:val="single" w:sz="4" w:space="0" w:color="auto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718B94" w14:textId="77777777" w:rsidR="0019187E" w:rsidRDefault="0019187E" w:rsidP="00047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Perfil Clínico-Epidemiológico e Tempos de Espera entre Diagnóstico e Tratamento de Tumores Infantis do Sistema Nervoso Central no Brasil: Um Estudo Baseado em Hospitais</w:t>
            </w:r>
          </w:p>
        </w:tc>
      </w:tr>
      <w:tr w:rsidR="0019187E" w14:paraId="64BD3E44" w14:textId="77777777" w:rsidTr="0019187E">
        <w:trPr>
          <w:trHeight w:val="735"/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F62384" w14:textId="77777777" w:rsidR="0019187E" w:rsidRDefault="0019187E" w:rsidP="00047A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Leucemias e linfomas infantojuvenis: um estudo descritivo e epidemiológico dos últimos 22 anos no estado de São Paulo</w:t>
            </w:r>
          </w:p>
        </w:tc>
      </w:tr>
      <w:tr w:rsidR="0019187E" w14:paraId="3255B8C5" w14:textId="77777777" w:rsidTr="0019187E">
        <w:trPr>
          <w:trHeight w:val="735"/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20BA6" w14:textId="26A46A8C" w:rsidR="0019187E" w:rsidRDefault="0019187E" w:rsidP="001918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of bedside ultrasound to assess muscle mass is a feasible measurement tool for health professionals from different backgrounds</w:t>
            </w:r>
          </w:p>
        </w:tc>
      </w:tr>
      <w:tr w:rsidR="0019187E" w14:paraId="7F3C4910" w14:textId="77777777" w:rsidTr="0019187E">
        <w:trPr>
          <w:trHeight w:val="735"/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F3C0E9" w14:textId="0C984684" w:rsidR="0019187E" w:rsidRDefault="0019187E" w:rsidP="001918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Muscle mass changes dramatically before surgery in children with ewilms tumor</w:t>
            </w:r>
          </w:p>
        </w:tc>
      </w:tr>
      <w:tr w:rsidR="0019187E" w14:paraId="3CD639BA" w14:textId="77777777" w:rsidTr="0019187E">
        <w:trPr>
          <w:trHeight w:val="735"/>
          <w:jc w:val="center"/>
        </w:trPr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CA240F" w14:textId="54966E08" w:rsidR="0019187E" w:rsidRDefault="0019187E" w:rsidP="001918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a 3-points cutoff at scan ideal to screen for nutritional risk in children with cancer from LMIC?</w:t>
            </w:r>
          </w:p>
        </w:tc>
      </w:tr>
    </w:tbl>
    <w:p w14:paraId="020CE766" w14:textId="4415D433" w:rsidR="0019187E" w:rsidRDefault="0019187E">
      <w:pPr>
        <w:pBdr>
          <w:bottom w:val="single" w:sz="12" w:space="1" w:color="auto"/>
        </w:pBdr>
      </w:pPr>
    </w:p>
    <w:p w14:paraId="5A1FCC45" w14:textId="77777777" w:rsidR="00044AFA" w:rsidRDefault="00044AFA" w:rsidP="00721F6A"/>
    <w:sectPr w:rsidR="00044A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DC01" w14:textId="77777777" w:rsidR="00072C16" w:rsidRDefault="00072C16" w:rsidP="00072C16">
      <w:pPr>
        <w:spacing w:after="0" w:line="240" w:lineRule="auto"/>
      </w:pPr>
      <w:r>
        <w:separator/>
      </w:r>
    </w:p>
  </w:endnote>
  <w:endnote w:type="continuationSeparator" w:id="0">
    <w:p w14:paraId="7B5BD33B" w14:textId="77777777" w:rsidR="00072C16" w:rsidRDefault="00072C16" w:rsidP="00072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46486" w14:textId="77777777" w:rsidR="00072C16" w:rsidRDefault="00072C16" w:rsidP="00072C16">
      <w:pPr>
        <w:spacing w:after="0" w:line="240" w:lineRule="auto"/>
      </w:pPr>
      <w:r>
        <w:separator/>
      </w:r>
    </w:p>
  </w:footnote>
  <w:footnote w:type="continuationSeparator" w:id="0">
    <w:p w14:paraId="6BF6ADC3" w14:textId="77777777" w:rsidR="00072C16" w:rsidRDefault="00072C16" w:rsidP="00072C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D7"/>
    <w:rsid w:val="00044AFA"/>
    <w:rsid w:val="00072C16"/>
    <w:rsid w:val="000C7F27"/>
    <w:rsid w:val="0017182B"/>
    <w:rsid w:val="0019187E"/>
    <w:rsid w:val="003240D7"/>
    <w:rsid w:val="003B010B"/>
    <w:rsid w:val="00721F6A"/>
    <w:rsid w:val="00A6301C"/>
    <w:rsid w:val="00B02BB9"/>
    <w:rsid w:val="00CF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406D9"/>
  <w15:chartTrackingRefBased/>
  <w15:docId w15:val="{3F892735-5766-4D43-93BF-5D4A8B758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721F6A"/>
    <w:pPr>
      <w:keepNext/>
      <w:keepLines/>
      <w:spacing w:after="60" w:line="276" w:lineRule="auto"/>
    </w:pPr>
    <w:rPr>
      <w:rFonts w:ascii="Arial" w:eastAsia="Arial" w:hAnsi="Arial" w:cs="Arial"/>
      <w:kern w:val="0"/>
      <w:sz w:val="52"/>
      <w:szCs w:val="52"/>
      <w:lang w:eastAsia="pt-BR"/>
      <w14:ligatures w14:val="none"/>
    </w:rPr>
  </w:style>
  <w:style w:type="character" w:customStyle="1" w:styleId="TtuloChar">
    <w:name w:val="Título Char"/>
    <w:basedOn w:val="Fontepargpadro"/>
    <w:link w:val="Ttulo"/>
    <w:uiPriority w:val="10"/>
    <w:rsid w:val="00721F6A"/>
    <w:rPr>
      <w:rFonts w:ascii="Arial" w:eastAsia="Arial" w:hAnsi="Arial" w:cs="Arial"/>
      <w:kern w:val="0"/>
      <w:sz w:val="52"/>
      <w:szCs w:val="52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072C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72C16"/>
  </w:style>
  <w:style w:type="paragraph" w:styleId="Rodap">
    <w:name w:val="footer"/>
    <w:basedOn w:val="Normal"/>
    <w:link w:val="RodapChar"/>
    <w:uiPriority w:val="99"/>
    <w:unhideWhenUsed/>
    <w:rsid w:val="00072C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72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790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 01</dc:creator>
  <cp:keywords/>
  <dc:description/>
  <cp:lastModifiedBy>ICI 01</cp:lastModifiedBy>
  <cp:revision>2</cp:revision>
  <dcterms:created xsi:type="dcterms:W3CDTF">2023-03-15T18:44:00Z</dcterms:created>
  <dcterms:modified xsi:type="dcterms:W3CDTF">2023-03-15T19:54:00Z</dcterms:modified>
</cp:coreProperties>
</file>